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“童心向党 筑梦未来”科技冬令营活动项目采购清单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/>
        </w:rPr>
      </w:pPr>
      <w:r>
        <w:rPr>
          <w:rStyle w:val="6"/>
          <w:rFonts w:hint="eastAsia" w:ascii="Times New Roman" w:hAnsi="Times New Roman" w:eastAsia="楷体_GB2312" w:cs="Times New Roman"/>
          <w:color w:val="000000"/>
          <w:sz w:val="32"/>
          <w:szCs w:val="32"/>
        </w:rPr>
        <w:t>（一） 课程内容</w:t>
      </w:r>
    </w:p>
    <w:tbl>
      <w:tblPr>
        <w:tblStyle w:val="4"/>
        <w:tblW w:w="7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26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课程主题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绿色发展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知识小课堂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太阳能风车DIY科学套装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纸电路开关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纽扣电池+底座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绿色灯光模块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纸电路专用导电胶布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绿色能源拟真风力发电组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绿色能源天堂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绿色能源体验立体手册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老师讲座费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课程策划设计费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参观绿色能源科普基地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基地教师辅导费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童护羊城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环保实践课程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巡河专业人员辅导劳务费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课程策划设计费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东濠涌巡河实践活动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水足迹教具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低碳教具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河涌小卫士材料包（含测水快速检测试剂，装水装置，小蜜蜂、游戏卡、任务单等）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河堤总动员学习包（含水循环探究包，水的科学世界研究盒等）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spacing w:line="560" w:lineRule="exact"/>
              <w:ind w:left="0" w:leftChars="0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未来生活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科学中心研学活动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门票及研学组合活动费用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spacing w:line="560" w:lineRule="exact"/>
              <w:ind w:left="0" w:leftChars="0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Style w:val="6"/>
          <w:rFonts w:hint="eastAsia" w:ascii="Times New Roman" w:hAnsi="Times New Roman" w:eastAsia="楷体_GB2312" w:cs="Times New Roman"/>
          <w:color w:val="000000"/>
          <w:sz w:val="32"/>
          <w:szCs w:val="32"/>
        </w:rPr>
        <w:t>（二）物料宣传</w:t>
      </w:r>
    </w:p>
    <w:tbl>
      <w:tblPr>
        <w:tblStyle w:val="4"/>
        <w:tblW w:w="6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项目</w:t>
            </w:r>
          </w:p>
        </w:tc>
        <w:tc>
          <w:tcPr>
            <w:tcW w:w="102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 xml:space="preserve">数量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研学手册设计制作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研学证书设计制作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统一装备（双肩背包、帽子、马甲）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防疫物资（备用口罩、免洗洗手液、消毒酒精、抗原试剂、常用药品）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新年慰问</w:t>
            </w:r>
            <w:r>
              <w:rPr>
                <w:rFonts w:hint="eastAsia"/>
                <w:lang w:eastAsia="zh-CN"/>
              </w:rPr>
              <w:t>小礼包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宣传物资（手持牌卡、横幅等）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561" w:type="dxa"/>
          </w:tcPr>
          <w:p>
            <w:pPr>
              <w:spacing w:line="560" w:lineRule="exact"/>
            </w:pPr>
            <w:r>
              <w:rPr>
                <w:rFonts w:hint="eastAsia"/>
              </w:rPr>
              <w:t>活动小视频剪辑制作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hint="eastAsia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Style w:val="6"/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Style w:val="6"/>
          <w:rFonts w:hint="eastAsia" w:ascii="Times New Roman" w:hAnsi="Times New Roman" w:eastAsia="楷体_GB2312" w:cs="Times New Roman"/>
          <w:color w:val="000000"/>
          <w:sz w:val="32"/>
          <w:szCs w:val="32"/>
        </w:rPr>
        <w:t>（三）后勤保障</w:t>
      </w:r>
    </w:p>
    <w:tbl>
      <w:tblPr>
        <w:tblStyle w:val="4"/>
        <w:tblW w:w="7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450"/>
        <w:gridCol w:w="90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4" w:type="dxa"/>
            <w:gridSpan w:val="2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906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交通</w:t>
            </w:r>
          </w:p>
        </w:tc>
        <w:tc>
          <w:tcPr>
            <w:tcW w:w="4450" w:type="dxa"/>
            <w:vAlign w:val="center"/>
          </w:tcPr>
          <w:p>
            <w:pPr>
              <w:pStyle w:val="2"/>
              <w:spacing w:line="560" w:lineRule="exact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37座巴士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餐饮</w:t>
            </w:r>
          </w:p>
        </w:tc>
        <w:tc>
          <w:tcPr>
            <w:tcW w:w="445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午餐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饮用水（2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支/箱）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人员保障</w:t>
            </w:r>
          </w:p>
        </w:tc>
        <w:tc>
          <w:tcPr>
            <w:tcW w:w="445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研学导师、随车工作人员、司机等劳务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保险</w:t>
            </w:r>
          </w:p>
        </w:tc>
        <w:tc>
          <w:tcPr>
            <w:tcW w:w="445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20万/人保额研学人身意外保险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税费</w:t>
            </w:r>
          </w:p>
        </w:tc>
        <w:tc>
          <w:tcPr>
            <w:tcW w:w="445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税费6%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163008DC"/>
    <w:rsid w:val="17EF2959"/>
    <w:rsid w:val="33C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UserStyle_0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458</Characters>
  <Lines>0</Lines>
  <Paragraphs>0</Paragraphs>
  <TotalTime>1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2023-01-13T09:50:48Z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